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153"/>
          <w:tab w:val="right" w:leader="none" w:pos="8306"/>
          <w:tab w:val="left" w:leader="none" w:pos="720"/>
          <w:tab w:val="center" w:leader="none" w:pos="4513"/>
          <w:tab w:val="right" w:leader="none" w:pos="9026"/>
        </w:tabs>
        <w:spacing w:after="0" w:line="240" w:lineRule="auto"/>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Call-Off Schedule 5 (Pricing Details)</w:t>
      </w:r>
      <w:r w:rsidDel="00000000" w:rsidR="00000000" w:rsidRPr="00000000">
        <w:rPr>
          <w:rtl w:val="0"/>
        </w:rPr>
      </w:r>
    </w:p>
    <w:p w:rsidR="00000000" w:rsidDel="00000000" w:rsidP="00000000" w:rsidRDefault="00000000" w:rsidRPr="00000000" w14:paraId="00000002">
      <w:pPr>
        <w:spacing w:after="200"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numPr>
          <w:ilvl w:val="0"/>
          <w:numId w:val="1"/>
        </w:numPr>
        <w:spacing w:after="200" w:line="276" w:lineRule="auto"/>
        <w:ind w:left="432" w:hanging="432"/>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Call-Off Contract Charges</w:t>
      </w:r>
    </w:p>
    <w:p w:rsidR="00000000" w:rsidDel="00000000" w:rsidP="00000000" w:rsidRDefault="00000000" w:rsidRPr="00000000" w14:paraId="00000004">
      <w:pPr>
        <w:numPr>
          <w:ilvl w:val="1"/>
          <w:numId w:val="1"/>
        </w:numPr>
        <w:spacing w:after="200" w:line="276" w:lineRule="auto"/>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warrant that:</w:t>
      </w:r>
    </w:p>
    <w:p w:rsidR="00000000" w:rsidDel="00000000" w:rsidP="00000000" w:rsidRDefault="00000000" w:rsidRPr="00000000" w14:paraId="00000005">
      <w:pPr>
        <w:numPr>
          <w:ilvl w:val="2"/>
          <w:numId w:val="1"/>
        </w:numPr>
        <w:spacing w:after="200" w:line="276" w:lineRule="auto"/>
        <w:ind w:left="720" w:hanging="720"/>
        <w:jc w:val="left"/>
        <w:rPr>
          <w:rFonts w:ascii="Arial" w:cs="Arial" w:eastAsia="Arial" w:hAnsi="Arial"/>
          <w:sz w:val="24"/>
          <w:szCs w:val="24"/>
        </w:rPr>
      </w:pPr>
      <w:r w:rsidDel="00000000" w:rsidR="00000000" w:rsidRPr="00000000">
        <w:rPr>
          <w:rFonts w:ascii="Arial" w:cs="Arial" w:eastAsia="Arial" w:hAnsi="Arial"/>
          <w:color w:val="202124"/>
          <w:sz w:val="24"/>
          <w:szCs w:val="24"/>
          <w:highlight w:val="white"/>
          <w:rtl w:val="0"/>
        </w:rPr>
        <w:t xml:space="preserve">the Supplier shall provide as part of the Further Competition Procedure, its pricing for the Deliverables is in accordance with the Buyer’s Statement of Requirements.</w:t>
      </w:r>
      <w:r w:rsidDel="00000000" w:rsidR="00000000" w:rsidRPr="00000000">
        <w:rPr>
          <w:rtl w:val="0"/>
        </w:rPr>
      </w:r>
    </w:p>
    <w:p w:rsidR="00000000" w:rsidDel="00000000" w:rsidP="00000000" w:rsidRDefault="00000000" w:rsidRPr="00000000" w14:paraId="00000006">
      <w:pPr>
        <w:numPr>
          <w:ilvl w:val="2"/>
          <w:numId w:val="1"/>
        </w:numPr>
        <w:spacing w:after="200" w:line="276" w:lineRule="auto"/>
        <w:ind w:left="720" w:hanging="72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for each individual Statement of Work (SOW), the applicable Charges shall be calculated in accordance with the Pricing Mechanisms detailed in the Order Form using all of the following:</w:t>
      </w:r>
    </w:p>
    <w:p w:rsidR="00000000" w:rsidDel="00000000" w:rsidP="00000000" w:rsidRDefault="00000000" w:rsidRPr="00000000" w14:paraId="00000007">
      <w:pPr>
        <w:numPr>
          <w:ilvl w:val="0"/>
          <w:numId w:val="2"/>
        </w:numPr>
        <w:spacing w:after="200" w:line="276" w:lineRule="auto"/>
        <w:ind w:left="1152" w:hanging="432"/>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agreed rates for Supplier Staff and/or facilities (which are exclusive of any applicable expenses and VAT) incorporated into the Call-Off Contract; and</w:t>
      </w:r>
    </w:p>
    <w:p w:rsidR="00000000" w:rsidDel="00000000" w:rsidP="00000000" w:rsidRDefault="00000000" w:rsidRPr="00000000" w14:paraId="00000008">
      <w:pPr>
        <w:numPr>
          <w:ilvl w:val="0"/>
          <w:numId w:val="2"/>
        </w:numPr>
        <w:spacing w:after="200" w:line="276" w:lineRule="auto"/>
        <w:ind w:left="1152" w:hanging="432"/>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number of Work Days, or pro rata portion of a Work Day (in the format detailed in Paragraph (c) below), that Supplier Staff work solely to provide the Deliverables and/or the provision of facilities solely to be used for the Buyer’s stated purposes of providing the Deliverables and to meet the tasks sets out in the SOW between the SOW Start Date and SOW End Date; and</w:t>
      </w:r>
    </w:p>
    <w:p w:rsidR="00000000" w:rsidDel="00000000" w:rsidP="00000000" w:rsidRDefault="00000000" w:rsidRPr="00000000" w14:paraId="00000009">
      <w:pPr>
        <w:numPr>
          <w:ilvl w:val="0"/>
          <w:numId w:val="2"/>
        </w:numPr>
        <w:spacing w:after="200" w:line="276" w:lineRule="auto"/>
        <w:ind w:left="1152" w:hanging="432"/>
        <w:jc w:val="left"/>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in the format and applying the Pricing Mechanism, including details of any discount structures, incentivisation or gainshare, specified by the Buyer in its Statement of Requirements. The Buyer may request that the Supplier provide a breakdown of how the total price was calculated and provide copies of supporting documentation. The Supplier must provide a cost breakdown in the format and to the timetable requested by the Buyer, and should the Supplier fail to do so, the Buyer may reject the Suppliers bid without further consideration and the Supplier shall take no further part in that Further Competition Procedure.</w:t>
      </w:r>
      <w:r w:rsidDel="00000000" w:rsidR="00000000" w:rsidRPr="00000000">
        <w:rPr>
          <w:rtl w:val="0"/>
        </w:rPr>
      </w:r>
    </w:p>
    <w:p w:rsidR="00000000" w:rsidDel="00000000" w:rsidP="00000000" w:rsidRDefault="00000000" w:rsidRPr="00000000" w14:paraId="0000000A">
      <w:pPr>
        <w:numPr>
          <w:ilvl w:val="1"/>
          <w:numId w:val="1"/>
        </w:numPr>
        <w:spacing w:after="200" w:line="276" w:lineRule="auto"/>
        <w:ind w:left="576" w:hanging="576"/>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Further to Paragraph 1.2.5 (a) of Framework Schedule 3 (Framework Pricing), the Supplier will provide a detailed breakdown of its Charges for the Deliverables in sufficient detail to enable the Buyer to verify the accuracy of any invoice submitted.</w:t>
      </w:r>
    </w:p>
    <w:p w:rsidR="00000000" w:rsidDel="00000000" w:rsidP="00000000" w:rsidRDefault="00000000" w:rsidRPr="00000000" w14:paraId="0000000B">
      <w:pPr>
        <w:spacing w:after="20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This detailed breakdown will be incorporated into each SOW and include (but will not be limited to):</w:t>
      </w:r>
    </w:p>
    <w:p w:rsidR="00000000" w:rsidDel="00000000" w:rsidP="00000000" w:rsidRDefault="00000000" w:rsidRPr="00000000" w14:paraId="0000000C">
      <w:pPr>
        <w:numPr>
          <w:ilvl w:val="0"/>
          <w:numId w:val="3"/>
        </w:numPr>
        <w:spacing w:after="200" w:line="27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role description of each member of the Supplier Staff;</w:t>
      </w:r>
    </w:p>
    <w:p w:rsidR="00000000" w:rsidDel="00000000" w:rsidP="00000000" w:rsidRDefault="00000000" w:rsidRPr="00000000" w14:paraId="0000000D">
      <w:pPr>
        <w:numPr>
          <w:ilvl w:val="0"/>
          <w:numId w:val="3"/>
        </w:numPr>
        <w:spacing w:after="200" w:line="27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facilities description (if applicable);</w:t>
      </w:r>
    </w:p>
    <w:p w:rsidR="00000000" w:rsidDel="00000000" w:rsidP="00000000" w:rsidRDefault="00000000" w:rsidRPr="00000000" w14:paraId="0000000E">
      <w:pPr>
        <w:numPr>
          <w:ilvl w:val="0"/>
          <w:numId w:val="3"/>
        </w:numPr>
        <w:spacing w:after="200" w:line="27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agreed day rate for each Supplier Staff;</w:t>
      </w:r>
    </w:p>
    <w:p w:rsidR="00000000" w:rsidDel="00000000" w:rsidP="00000000" w:rsidRDefault="00000000" w:rsidRPr="00000000" w14:paraId="0000000F">
      <w:pPr>
        <w:numPr>
          <w:ilvl w:val="0"/>
          <w:numId w:val="3"/>
        </w:numPr>
        <w:spacing w:after="200" w:line="27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expenses charged for each Work Day for each Supplier Staff, which must be in accordance with the Buyer’s expenses policy (if applicable);</w:t>
      </w:r>
    </w:p>
    <w:p w:rsidR="00000000" w:rsidDel="00000000" w:rsidP="00000000" w:rsidRDefault="00000000" w:rsidRPr="00000000" w14:paraId="00000010">
      <w:pPr>
        <w:numPr>
          <w:ilvl w:val="0"/>
          <w:numId w:val="3"/>
        </w:numPr>
        <w:spacing w:after="200" w:line="27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number of Work Days, or pro rata for every part day, they will actively be engaged in providing the Deliverables between the SOW Start Date and SOW End Date; and</w:t>
      </w:r>
    </w:p>
    <w:p w:rsidR="00000000" w:rsidDel="00000000" w:rsidP="00000000" w:rsidRDefault="00000000" w:rsidRPr="00000000" w14:paraId="00000011">
      <w:pPr>
        <w:numPr>
          <w:ilvl w:val="0"/>
          <w:numId w:val="3"/>
        </w:numPr>
        <w:spacing w:after="200" w:line="276" w:lineRule="auto"/>
        <w:ind w:left="108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total SOW cost for all Supplier Staff roles and facilities in providing the Deliverables.</w:t>
      </w:r>
    </w:p>
    <w:p w:rsidR="00000000" w:rsidDel="00000000" w:rsidP="00000000" w:rsidRDefault="00000000" w:rsidRPr="00000000" w14:paraId="00000012">
      <w:pPr>
        <w:numPr>
          <w:ilvl w:val="1"/>
          <w:numId w:val="1"/>
        </w:numPr>
        <w:spacing w:after="200" w:line="276" w:lineRule="auto"/>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a Capped or Fixed Price has been agreed for a particular SOW:</w:t>
      </w:r>
    </w:p>
    <w:p w:rsidR="00000000" w:rsidDel="00000000" w:rsidP="00000000" w:rsidRDefault="00000000" w:rsidRPr="00000000" w14:paraId="00000013">
      <w:pPr>
        <w:numPr>
          <w:ilvl w:val="0"/>
          <w:numId w:val="4"/>
        </w:numPr>
        <w:spacing w:after="200" w:line="276" w:lineRule="auto"/>
        <w:ind w:left="936"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continue to work on the Deliverables until they are satisfactorily complete and accepted by the Buyer at its own cost and expense where the Capped or Fixed Price is exceeded; and</w:t>
      </w:r>
    </w:p>
    <w:p w:rsidR="00000000" w:rsidDel="00000000" w:rsidP="00000000" w:rsidRDefault="00000000" w:rsidRPr="00000000" w14:paraId="00000014">
      <w:pPr>
        <w:numPr>
          <w:ilvl w:val="0"/>
          <w:numId w:val="4"/>
        </w:numPr>
        <w:spacing w:after="200" w:line="276" w:lineRule="auto"/>
        <w:ind w:left="936"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have no obligation or liability to pay any additional Charges or cost of any part of the Deliverables yet to be completed and/or Delivered after the Capped or Fixed Price is exceeded by the Supplier.</w:t>
      </w:r>
    </w:p>
    <w:p w:rsidR="00000000" w:rsidDel="00000000" w:rsidP="00000000" w:rsidRDefault="00000000" w:rsidRPr="00000000" w14:paraId="00000015">
      <w:pPr>
        <w:numPr>
          <w:ilvl w:val="1"/>
          <w:numId w:val="1"/>
        </w:numPr>
        <w:spacing w:after="200" w:line="276" w:lineRule="auto"/>
        <w:ind w:left="576" w:hanging="576"/>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Charges must be honoured by the Supplier for the Contract Period of the Call-Off Contract except where agreed in accordance with Framework Schedule 3 (Framework Pricing).</w:t>
      </w:r>
      <w:r w:rsidDel="00000000" w:rsidR="00000000" w:rsidRPr="00000000">
        <w:rPr>
          <w:rtl w:val="0"/>
        </w:rPr>
      </w:r>
    </w:p>
    <w:p w:rsidR="00000000" w:rsidDel="00000000" w:rsidP="00000000" w:rsidRDefault="00000000" w:rsidRPr="00000000" w14:paraId="00000016">
      <w:pPr>
        <w:numPr>
          <w:ilvl w:val="1"/>
          <w:numId w:val="1"/>
        </w:numPr>
        <w:spacing w:after="200" w:line="276" w:lineRule="auto"/>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All risks or contingencies will be included in the Charges. The Parties agree that the following assumptions, representations, risks and contingencies will apply in relation to the Charges:</w:t>
      </w:r>
    </w:p>
    <w:p w:rsidR="00000000" w:rsidDel="00000000" w:rsidP="00000000" w:rsidRDefault="00000000" w:rsidRPr="00000000" w14:paraId="00000017">
      <w:pPr>
        <w:spacing w:after="200"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pStyle w:val="Heading2"/>
        <w:rPr>
          <w:b w:val="1"/>
          <w:color w:val="ff0000"/>
          <w:sz w:val="28"/>
          <w:szCs w:val="28"/>
        </w:rPr>
      </w:pPr>
      <w:r w:rsidDel="00000000" w:rsidR="00000000" w:rsidRPr="00000000">
        <w:rPr>
          <w:b w:val="1"/>
          <w:color w:val="ff0000"/>
          <w:sz w:val="28"/>
          <w:szCs w:val="28"/>
          <w:rtl w:val="0"/>
        </w:rPr>
        <w:t xml:space="preserve">REDACTED TEXT</w:t>
      </w:r>
    </w:p>
    <w:p w:rsidR="00000000" w:rsidDel="00000000" w:rsidP="00000000" w:rsidRDefault="00000000" w:rsidRPr="00000000" w14:paraId="00000019">
      <w:pPr>
        <w:pStyle w:val="Heading2"/>
        <w:rPr>
          <w:b w:val="1"/>
          <w:color w:val="ff0000"/>
          <w:sz w:val="28"/>
          <w:szCs w:val="28"/>
        </w:rPr>
      </w:pPr>
      <w:bookmarkStart w:colFirst="0" w:colLast="0" w:name="_heading=h.8xexluq73fp" w:id="2"/>
      <w:bookmarkEnd w:id="2"/>
      <w:r w:rsidDel="00000000" w:rsidR="00000000" w:rsidRPr="00000000">
        <w:rPr>
          <w:b w:val="1"/>
          <w:color w:val="ff0000"/>
          <w:sz w:val="28"/>
          <w:szCs w:val="28"/>
          <w:rtl w:val="0"/>
        </w:rPr>
        <w:t xml:space="preserve">under FOIA Section 43 Commercial Interests</w:t>
      </w:r>
    </w:p>
    <w:p w:rsidR="00000000" w:rsidDel="00000000" w:rsidP="00000000" w:rsidRDefault="00000000" w:rsidRPr="00000000" w14:paraId="0000001A">
      <w:pPr>
        <w:pStyle w:val="Heading2"/>
        <w:ind w:left="576" w:hanging="576"/>
        <w:rPr>
          <w:b w:val="1"/>
          <w:sz w:val="28"/>
          <w:szCs w:val="28"/>
        </w:rPr>
      </w:pPr>
      <w:r w:rsidDel="00000000" w:rsidR="00000000" w:rsidRPr="00000000">
        <w:rPr>
          <w:rtl w:val="0"/>
        </w:rPr>
      </w:r>
    </w:p>
    <w:p w:rsidR="00000000" w:rsidDel="00000000" w:rsidP="00000000" w:rsidRDefault="00000000" w:rsidRPr="00000000" w14:paraId="0000001B">
      <w:pPr>
        <w:pStyle w:val="Heading2"/>
        <w:ind w:left="576" w:hanging="576"/>
        <w:rPr/>
      </w:pPr>
      <w:r w:rsidDel="00000000" w:rsidR="00000000" w:rsidRPr="00000000">
        <w:rPr>
          <w:rtl w:val="0"/>
        </w:rPr>
      </w:r>
    </w:p>
    <w:p w:rsidR="00000000" w:rsidDel="00000000" w:rsidP="00000000" w:rsidRDefault="00000000" w:rsidRPr="00000000" w14:paraId="0000001C">
      <w:pPr>
        <w:pStyle w:val="Heading2"/>
        <w:ind w:left="576" w:hanging="576"/>
        <w:rPr/>
      </w:pPr>
      <w:r w:rsidDel="00000000" w:rsidR="00000000" w:rsidRPr="00000000">
        <w:rPr>
          <w:rtl w:val="0"/>
        </w:rPr>
      </w:r>
    </w:p>
    <w:p w:rsidR="00000000" w:rsidDel="00000000" w:rsidP="00000000" w:rsidRDefault="00000000" w:rsidRPr="00000000" w14:paraId="0000001D">
      <w:pPr>
        <w:pStyle w:val="Heading2"/>
        <w:ind w:left="576" w:hanging="576"/>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spacing w:after="200" w:line="276" w:lineRule="auto"/>
        <w:jc w:val="left"/>
        <w:rPr>
          <w:rFonts w:ascii="Arial" w:cs="Arial" w:eastAsia="Arial" w:hAnsi="Arial"/>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RM6345</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2</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Arial" w:cs="Arial" w:eastAsia="Arial" w:hAnsi="Arial"/>
        <w:color w:val="000000"/>
        <w:sz w:val="20"/>
        <w:szCs w:val="20"/>
        <w:rtl w:val="0"/>
      </w:rPr>
      <w:t xml:space="preserve">Model Version: v3.1</w:t>
    </w:r>
    <w:r w:rsidDel="00000000" w:rsidR="00000000" w:rsidRPr="00000000">
      <w:rPr>
        <w:rtl w:val="0"/>
      </w:rPr>
    </w:r>
  </w:p>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jc w:val="left"/>
      <w:rPr>
        <w:rFonts w:ascii="Calibri" w:cs="Calibri" w:eastAsia="Calibri" w:hAnsi="Calibri"/>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w:t>
    </w:r>
    <w:r w:rsidDel="00000000" w:rsidR="00000000" w:rsidRPr="00000000">
      <w:rPr>
        <w:rFonts w:ascii="Arial" w:cs="Arial" w:eastAsia="Arial" w:hAnsi="Arial"/>
        <w:sz w:val="20"/>
        <w:szCs w:val="20"/>
        <w:rtl w:val="0"/>
      </w:rPr>
      <w:t xml:space="preserve">263</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1</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Arial" w:cs="Arial" w:eastAsia="Arial" w:hAnsi="Arial"/>
        <w:color w:val="000000"/>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tabs>
        <w:tab w:val="center" w:leader="none" w:pos="4513"/>
        <w:tab w:val="right" w:leader="none" w:pos="9026"/>
      </w:tabs>
      <w:spacing w:after="0" w:line="240" w:lineRule="auto"/>
      <w:rPr>
        <w:rFonts w:ascii="Calibri" w:cs="Calibri" w:eastAsia="Calibri" w:hAnsi="Calibri"/>
      </w:rPr>
    </w:pPr>
    <w:r w:rsidDel="00000000" w:rsidR="00000000" w:rsidRPr="00000000">
      <w:rPr>
        <w:rFonts w:ascii="Calibri" w:cs="Calibri" w:eastAsia="Calibri" w:hAnsi="Calibri"/>
        <w:b w:val="1"/>
        <w:rtl w:val="0"/>
      </w:rPr>
      <w:t xml:space="preserve">Call-Off Schedule 5 (Call-Off Pricing)</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-165728</wp:posOffset>
          </wp:positionV>
          <wp:extent cx="848995" cy="685800"/>
          <wp:effectExtent b="0" l="0" r="0" t="0"/>
          <wp:wrapNone/>
          <wp:docPr descr="Crown Commercial Service" id="1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24">
    <w:pPr>
      <w:tabs>
        <w:tab w:val="center" w:leader="none" w:pos="4513"/>
        <w:tab w:val="right" w:leader="none" w:pos="9026"/>
      </w:tabs>
      <w:spacing w:after="0" w:line="240" w:lineRule="auto"/>
      <w:rPr>
        <w:rFonts w:ascii="Calibri" w:cs="Calibri" w:eastAsia="Calibri" w:hAnsi="Calibri"/>
      </w:rPr>
    </w:pPr>
    <w:r w:rsidDel="00000000" w:rsidR="00000000" w:rsidRPr="00000000">
      <w:rPr>
        <w:rFonts w:ascii="Calibri" w:cs="Calibri" w:eastAsia="Calibri" w:hAnsi="Calibri"/>
        <w:rtl w:val="0"/>
      </w:rPr>
      <w:t xml:space="preserve">Crown Copyright 2017</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5 (Pricing Details)</w:t>
    </w:r>
    <w:r w:rsidDel="00000000" w:rsidR="00000000" w:rsidRPr="00000000">
      <w:rPr>
        <w:rtl w:val="0"/>
      </w:rPr>
    </w:r>
  </w:p>
  <w:p w:rsidR="00000000" w:rsidDel="00000000" w:rsidP="00000000" w:rsidRDefault="00000000" w:rsidRPr="00000000" w14:paraId="00000027">
    <w:pPr>
      <w:tabs>
        <w:tab w:val="center" w:leader="none" w:pos="4513"/>
        <w:tab w:val="right" w:leader="none" w:pos="9026"/>
      </w:tabs>
      <w:spacing w:after="0" w:line="24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Call-Off Ref: CCTS24A38</w:t>
    </w:r>
  </w:p>
  <w:p w:rsidR="00000000" w:rsidDel="00000000" w:rsidP="00000000" w:rsidRDefault="00000000" w:rsidRPr="00000000" w14:paraId="00000028">
    <w:pPr>
      <w:tabs>
        <w:tab w:val="center" w:leader="none" w:pos="4513"/>
        <w:tab w:val="right" w:leader="none" w:pos="9026"/>
      </w:tabs>
      <w:spacing w:after="0" w:line="24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lowerLetter"/>
      <w:lvlText w:val="(%1)"/>
      <w:lvlJc w:val="left"/>
      <w:pPr>
        <w:ind w:left="1152" w:hanging="432"/>
      </w:pPr>
      <w:rPr>
        <w:b w:val="0"/>
      </w:rPr>
    </w:lvl>
    <w:lvl w:ilvl="1">
      <w:start w:val="1"/>
      <w:numFmt w:val="decimal"/>
      <w:lvlText w:val="%1.%2"/>
      <w:lvlJc w:val="left"/>
      <w:pPr>
        <w:ind w:left="1296" w:hanging="576"/>
      </w:pPr>
      <w:rPr/>
    </w:lvl>
    <w:lvl w:ilvl="2">
      <w:start w:val="1"/>
      <w:numFmt w:val="decimal"/>
      <w:lvlText w:val="%1.%2.%3"/>
      <w:lvlJc w:val="left"/>
      <w:pPr>
        <w:ind w:left="1440" w:hanging="720"/>
      </w:pPr>
      <w:rPr/>
    </w:lvl>
    <w:lvl w:ilvl="3">
      <w:start w:val="1"/>
      <w:numFmt w:val="decimal"/>
      <w:lvlText w:val="%1.%2.%3.%4"/>
      <w:lvlJc w:val="left"/>
      <w:pPr>
        <w:ind w:left="1584" w:hanging="864"/>
      </w:pPr>
      <w:rPr/>
    </w:lvl>
    <w:lvl w:ilvl="4">
      <w:start w:val="1"/>
      <w:numFmt w:val="decimal"/>
      <w:lvlText w:val="%1.%2.%3.%4.%5"/>
      <w:lvlJc w:val="left"/>
      <w:pPr>
        <w:ind w:left="1728" w:hanging="1006.9999999999997"/>
      </w:pPr>
      <w:rPr/>
    </w:lvl>
    <w:lvl w:ilvl="5">
      <w:start w:val="1"/>
      <w:numFmt w:val="decimal"/>
      <w:lvlText w:val="%1.%2.%3.%4.%5.%6"/>
      <w:lvlJc w:val="left"/>
      <w:pPr>
        <w:ind w:left="1872" w:hanging="1152"/>
      </w:pPr>
      <w:rPr/>
    </w:lvl>
    <w:lvl w:ilvl="6">
      <w:start w:val="1"/>
      <w:numFmt w:val="decimal"/>
      <w:lvlText w:val="%1.%2.%3.%4.%5.%6.%7"/>
      <w:lvlJc w:val="left"/>
      <w:pPr>
        <w:ind w:left="2016" w:hanging="1296"/>
      </w:pPr>
      <w:rPr/>
    </w:lvl>
    <w:lvl w:ilvl="7">
      <w:start w:val="1"/>
      <w:numFmt w:val="decimal"/>
      <w:lvlText w:val="%1.%2.%3.%4.%5.%6.%7.%8"/>
      <w:lvlJc w:val="left"/>
      <w:pPr>
        <w:ind w:left="2160" w:hanging="1440"/>
      </w:pPr>
      <w:rPr/>
    </w:lvl>
    <w:lvl w:ilvl="8">
      <w:start w:val="1"/>
      <w:numFmt w:val="decimal"/>
      <w:lvlText w:val="%1.%2.%3.%4.%5.%6.%7.%8.%9"/>
      <w:lvlJc w:val="left"/>
      <w:pPr>
        <w:ind w:left="2304" w:hanging="1584"/>
      </w:pPr>
      <w:rPr/>
    </w:lvl>
  </w:abstractNum>
  <w:abstractNum w:abstractNumId="3">
    <w:lvl w:ilvl="0">
      <w:start w:val="0"/>
      <w:numFmt w:val="bullet"/>
      <w:lvlText w:val="●"/>
      <w:lvlJc w:val="left"/>
      <w:pPr>
        <w:ind w:left="1080" w:hanging="360"/>
      </w:pPr>
      <w:rPr>
        <w:rFonts w:ascii="Noto Sans Symbols" w:cs="Noto Sans Symbols" w:eastAsia="Noto Sans Symbols" w:hAnsi="Noto Sans Symbols"/>
      </w:rPr>
    </w:lvl>
    <w:lvl w:ilvl="1">
      <w:start w:val="0"/>
      <w:numFmt w:val="bullet"/>
      <w:lvlText w:val="o"/>
      <w:lvlJc w:val="left"/>
      <w:pPr>
        <w:ind w:left="1800" w:hanging="360"/>
      </w:pPr>
      <w:rPr>
        <w:rFonts w:ascii="Courier New" w:cs="Courier New" w:eastAsia="Courier New" w:hAnsi="Courier New"/>
      </w:rPr>
    </w:lvl>
    <w:lvl w:ilvl="2">
      <w:start w:val="0"/>
      <w:numFmt w:val="bullet"/>
      <w:lvlText w:val="▪"/>
      <w:lvlJc w:val="left"/>
      <w:pPr>
        <w:ind w:left="2520" w:hanging="360"/>
      </w:pPr>
      <w:rPr>
        <w:rFonts w:ascii="Noto Sans Symbols" w:cs="Noto Sans Symbols" w:eastAsia="Noto Sans Symbols" w:hAnsi="Noto Sans Symbols"/>
      </w:rPr>
    </w:lvl>
    <w:lvl w:ilvl="3">
      <w:start w:val="0"/>
      <w:numFmt w:val="bullet"/>
      <w:lvlText w:val="●"/>
      <w:lvlJc w:val="left"/>
      <w:pPr>
        <w:ind w:left="3240" w:hanging="360"/>
      </w:pPr>
      <w:rPr>
        <w:rFonts w:ascii="Noto Sans Symbols" w:cs="Noto Sans Symbols" w:eastAsia="Noto Sans Symbols" w:hAnsi="Noto Sans Symbols"/>
      </w:rPr>
    </w:lvl>
    <w:lvl w:ilvl="4">
      <w:start w:val="0"/>
      <w:numFmt w:val="bullet"/>
      <w:lvlText w:val="o"/>
      <w:lvlJc w:val="left"/>
      <w:pPr>
        <w:ind w:left="3960" w:hanging="360"/>
      </w:pPr>
      <w:rPr>
        <w:rFonts w:ascii="Courier New" w:cs="Courier New" w:eastAsia="Courier New" w:hAnsi="Courier New"/>
      </w:rPr>
    </w:lvl>
    <w:lvl w:ilvl="5">
      <w:start w:val="0"/>
      <w:numFmt w:val="bullet"/>
      <w:lvlText w:val="▪"/>
      <w:lvlJc w:val="left"/>
      <w:pPr>
        <w:ind w:left="4680" w:hanging="360"/>
      </w:pPr>
      <w:rPr>
        <w:rFonts w:ascii="Noto Sans Symbols" w:cs="Noto Sans Symbols" w:eastAsia="Noto Sans Symbols" w:hAnsi="Noto Sans Symbols"/>
      </w:rPr>
    </w:lvl>
    <w:lvl w:ilvl="6">
      <w:start w:val="0"/>
      <w:numFmt w:val="bullet"/>
      <w:lvlText w:val="●"/>
      <w:lvlJc w:val="left"/>
      <w:pPr>
        <w:ind w:left="5400" w:hanging="360"/>
      </w:pPr>
      <w:rPr>
        <w:rFonts w:ascii="Noto Sans Symbols" w:cs="Noto Sans Symbols" w:eastAsia="Noto Sans Symbols" w:hAnsi="Noto Sans Symbols"/>
      </w:rPr>
    </w:lvl>
    <w:lvl w:ilvl="7">
      <w:start w:val="0"/>
      <w:numFmt w:val="bullet"/>
      <w:lvlText w:val="o"/>
      <w:lvlJc w:val="left"/>
      <w:pPr>
        <w:ind w:left="6120" w:hanging="360"/>
      </w:pPr>
      <w:rPr>
        <w:rFonts w:ascii="Courier New" w:cs="Courier New" w:eastAsia="Courier New" w:hAnsi="Courier New"/>
      </w:rPr>
    </w:lvl>
    <w:lvl w:ilvl="8">
      <w:start w:val="0"/>
      <w:numFmt w:val="bullet"/>
      <w:lvlText w:val="▪"/>
      <w:lvlJc w:val="left"/>
      <w:pPr>
        <w:ind w:left="6840" w:hanging="360"/>
      </w:pPr>
      <w:rPr>
        <w:rFonts w:ascii="Noto Sans Symbols" w:cs="Noto Sans Symbols" w:eastAsia="Noto Sans Symbols" w:hAnsi="Noto Sans Symbols"/>
      </w:rPr>
    </w:lvl>
  </w:abstractNum>
  <w:abstractNum w:abstractNumId="4">
    <w:lvl w:ilvl="0">
      <w:start w:val="0"/>
      <w:numFmt w:val="bullet"/>
      <w:lvlText w:val="●"/>
      <w:lvlJc w:val="left"/>
      <w:pPr>
        <w:ind w:left="936" w:hanging="360"/>
      </w:pPr>
      <w:rPr>
        <w:rFonts w:ascii="Noto Sans Symbols" w:cs="Noto Sans Symbols" w:eastAsia="Noto Sans Symbols" w:hAnsi="Noto Sans Symbols"/>
      </w:rPr>
    </w:lvl>
    <w:lvl w:ilvl="1">
      <w:start w:val="0"/>
      <w:numFmt w:val="bullet"/>
      <w:lvlText w:val="o"/>
      <w:lvlJc w:val="left"/>
      <w:pPr>
        <w:ind w:left="1656" w:hanging="360"/>
      </w:pPr>
      <w:rPr>
        <w:rFonts w:ascii="Courier New" w:cs="Courier New" w:eastAsia="Courier New" w:hAnsi="Courier New"/>
      </w:rPr>
    </w:lvl>
    <w:lvl w:ilvl="2">
      <w:start w:val="0"/>
      <w:numFmt w:val="bullet"/>
      <w:lvlText w:val="▪"/>
      <w:lvlJc w:val="left"/>
      <w:pPr>
        <w:ind w:left="2376" w:hanging="360"/>
      </w:pPr>
      <w:rPr>
        <w:rFonts w:ascii="Noto Sans Symbols" w:cs="Noto Sans Symbols" w:eastAsia="Noto Sans Symbols" w:hAnsi="Noto Sans Symbols"/>
      </w:rPr>
    </w:lvl>
    <w:lvl w:ilvl="3">
      <w:start w:val="0"/>
      <w:numFmt w:val="bullet"/>
      <w:lvlText w:val="●"/>
      <w:lvlJc w:val="left"/>
      <w:pPr>
        <w:ind w:left="3096" w:hanging="360"/>
      </w:pPr>
      <w:rPr>
        <w:rFonts w:ascii="Noto Sans Symbols" w:cs="Noto Sans Symbols" w:eastAsia="Noto Sans Symbols" w:hAnsi="Noto Sans Symbols"/>
      </w:rPr>
    </w:lvl>
    <w:lvl w:ilvl="4">
      <w:start w:val="0"/>
      <w:numFmt w:val="bullet"/>
      <w:lvlText w:val="o"/>
      <w:lvlJc w:val="left"/>
      <w:pPr>
        <w:ind w:left="3816" w:hanging="360"/>
      </w:pPr>
      <w:rPr>
        <w:rFonts w:ascii="Courier New" w:cs="Courier New" w:eastAsia="Courier New" w:hAnsi="Courier New"/>
      </w:rPr>
    </w:lvl>
    <w:lvl w:ilvl="5">
      <w:start w:val="0"/>
      <w:numFmt w:val="bullet"/>
      <w:lvlText w:val="▪"/>
      <w:lvlJc w:val="left"/>
      <w:pPr>
        <w:ind w:left="4536" w:hanging="360"/>
      </w:pPr>
      <w:rPr>
        <w:rFonts w:ascii="Noto Sans Symbols" w:cs="Noto Sans Symbols" w:eastAsia="Noto Sans Symbols" w:hAnsi="Noto Sans Symbols"/>
      </w:rPr>
    </w:lvl>
    <w:lvl w:ilvl="6">
      <w:start w:val="0"/>
      <w:numFmt w:val="bullet"/>
      <w:lvlText w:val="●"/>
      <w:lvlJc w:val="left"/>
      <w:pPr>
        <w:ind w:left="5256" w:hanging="360"/>
      </w:pPr>
      <w:rPr>
        <w:rFonts w:ascii="Noto Sans Symbols" w:cs="Noto Sans Symbols" w:eastAsia="Noto Sans Symbols" w:hAnsi="Noto Sans Symbols"/>
      </w:rPr>
    </w:lvl>
    <w:lvl w:ilvl="7">
      <w:start w:val="0"/>
      <w:numFmt w:val="bullet"/>
      <w:lvlText w:val="o"/>
      <w:lvlJc w:val="left"/>
      <w:pPr>
        <w:ind w:left="5976" w:hanging="360"/>
      </w:pPr>
      <w:rPr>
        <w:rFonts w:ascii="Courier New" w:cs="Courier New" w:eastAsia="Courier New" w:hAnsi="Courier New"/>
      </w:rPr>
    </w:lvl>
    <w:lvl w:ilvl="8">
      <w:start w:val="0"/>
      <w:numFmt w:val="bullet"/>
      <w:lvlText w:val="▪"/>
      <w:lvlJc w:val="left"/>
      <w:pPr>
        <w:ind w:left="6696"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 w:right="0" w:hanging="432"/>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76" w:right="0" w:hanging="576"/>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864" w:right="0" w:hanging="864"/>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08" w:right="0" w:hanging="1008"/>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152" w:right="0" w:hanging="1152"/>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 w:right="0" w:hanging="432"/>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76" w:right="0" w:hanging="576"/>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864" w:right="0" w:hanging="864"/>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08" w:right="0" w:hanging="1008"/>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152" w:right="0" w:hanging="1152"/>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 w:right="0" w:hanging="432"/>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576" w:right="0" w:hanging="576"/>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864" w:right="0" w:hanging="864"/>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08" w:right="0" w:hanging="1008"/>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152" w:right="0" w:hanging="1152"/>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paragraph" w:styleId="Subtitle">
    <w:name w:val="Subtitle"/>
    <w:basedOn w:val="Normal"/>
    <w:next w:val="Normal"/>
    <w:pPr>
      <w:spacing w:after="60" w:lineRule="auto"/>
      <w:jc w:val="center"/>
    </w:pPr>
    <w:rPr>
      <w:rFonts w:ascii="Cambria" w:cs="Cambria" w:eastAsia="Cambria" w:hAnsi="Cambria"/>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hiFIPWego/ddIJqbbGc38SVZ9g==">CgMxLjAyCGguZ2pkZ3hzMgloLjMwajB6bGwyDWguOHhleGx1cTczZnA4AHIhMTFPZGt6N2xucHNvMGJtb1JXRGlYZ3lOQkY1SW5HQ3g5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